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DE1" w:rsidRPr="0095602A" w:rsidRDefault="00840DE1" w:rsidP="00840DE1">
      <w:pPr>
        <w:tabs>
          <w:tab w:val="left" w:pos="6195"/>
        </w:tabs>
        <w:rPr>
          <w:rFonts w:ascii="Times New Roman" w:hAnsi="Times New Roman" w:cs="Times New Roman"/>
          <w:b/>
          <w:sz w:val="20"/>
          <w:szCs w:val="20"/>
        </w:rPr>
      </w:pPr>
      <w:r w:rsidRPr="0095602A">
        <w:rPr>
          <w:rFonts w:ascii="Times New Roman" w:hAnsi="Times New Roman" w:cs="Times New Roman"/>
          <w:b/>
          <w:sz w:val="20"/>
          <w:szCs w:val="20"/>
        </w:rPr>
        <w:tab/>
      </w:r>
      <w:r w:rsidR="002C2047" w:rsidRPr="0095602A">
        <w:rPr>
          <w:rFonts w:ascii="Times New Roman" w:hAnsi="Times New Roman" w:cs="Times New Roman"/>
          <w:b/>
          <w:sz w:val="20"/>
          <w:szCs w:val="20"/>
        </w:rPr>
        <w:t xml:space="preserve">            </w:t>
      </w:r>
      <w:r w:rsidRPr="0095602A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AC590D">
        <w:rPr>
          <w:rFonts w:ascii="Times New Roman" w:hAnsi="Times New Roman" w:cs="Times New Roman"/>
          <w:b/>
          <w:sz w:val="20"/>
          <w:szCs w:val="20"/>
        </w:rPr>
        <w:t>6</w:t>
      </w:r>
      <w:r w:rsidRPr="0095602A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p w:rsidR="00840DE1" w:rsidRPr="0095602A" w:rsidRDefault="00840DE1" w:rsidP="00840DE1">
      <w:pPr>
        <w:tabs>
          <w:tab w:val="left" w:pos="4095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5602A">
        <w:rPr>
          <w:rFonts w:ascii="Times New Roman" w:hAnsi="Times New Roman" w:cs="Times New Roman"/>
          <w:b/>
          <w:sz w:val="20"/>
          <w:szCs w:val="20"/>
        </w:rPr>
        <w:t>Opis przedmiotu zamówienia</w:t>
      </w:r>
    </w:p>
    <w:tbl>
      <w:tblPr>
        <w:tblW w:w="8930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00"/>
        <w:gridCol w:w="6350"/>
        <w:gridCol w:w="1046"/>
        <w:gridCol w:w="1134"/>
      </w:tblGrid>
      <w:tr w:rsidR="00FC6E87" w:rsidRPr="0095602A" w:rsidTr="00E63F1F">
        <w:trPr>
          <w:trHeight w:val="585"/>
        </w:trPr>
        <w:tc>
          <w:tcPr>
            <w:tcW w:w="8930" w:type="dxa"/>
            <w:gridSpan w:val="4"/>
            <w:shd w:val="clear" w:color="auto" w:fill="F2F2F2" w:themeFill="background1" w:themeFillShade="F2"/>
          </w:tcPr>
          <w:p w:rsidR="00FC6E87" w:rsidRPr="0095602A" w:rsidRDefault="00FC6E87" w:rsidP="00FC6E87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Pompa infuzyjna </w:t>
            </w:r>
            <w:proofErr w:type="spellStart"/>
            <w:r w:rsidRPr="0095602A">
              <w:rPr>
                <w:rFonts w:ascii="Times New Roman" w:hAnsi="Times New Roman" w:cs="Times New Roman"/>
                <w:b/>
                <w:sz w:val="20"/>
                <w:szCs w:val="20"/>
              </w:rPr>
              <w:t>dwustrzykawkowa</w:t>
            </w:r>
            <w:proofErr w:type="spellEnd"/>
            <w:r w:rsidRPr="009560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E557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1 </w:t>
            </w:r>
            <w:proofErr w:type="spellStart"/>
            <w:r w:rsidRPr="007E557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szt</w:t>
            </w:r>
            <w:proofErr w:type="spellEnd"/>
          </w:p>
        </w:tc>
      </w:tr>
      <w:tr w:rsidR="00FC6E87" w:rsidRPr="0095602A" w:rsidTr="00E63F1F">
        <w:trPr>
          <w:trHeight w:val="585"/>
        </w:trPr>
        <w:tc>
          <w:tcPr>
            <w:tcW w:w="6750" w:type="dxa"/>
            <w:gridSpan w:val="2"/>
            <w:shd w:val="clear" w:color="auto" w:fill="F2F2F2" w:themeFill="background1" w:themeFillShade="F2"/>
          </w:tcPr>
          <w:p w:rsidR="00FC6E87" w:rsidRPr="0095602A" w:rsidRDefault="00FC6E87" w:rsidP="00E63F1F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  <w:r w:rsidRPr="0095602A">
              <w:rPr>
                <w:b/>
                <w:sz w:val="20"/>
                <w:szCs w:val="20"/>
              </w:rPr>
              <w:t>Producent/Kraj produkcji</w:t>
            </w:r>
          </w:p>
        </w:tc>
        <w:tc>
          <w:tcPr>
            <w:tcW w:w="2180" w:type="dxa"/>
            <w:gridSpan w:val="2"/>
            <w:shd w:val="clear" w:color="auto" w:fill="F2F2F2" w:themeFill="background1" w:themeFillShade="F2"/>
          </w:tcPr>
          <w:p w:rsidR="00FC6E87" w:rsidRPr="0095602A" w:rsidRDefault="00FC6E87" w:rsidP="00E63F1F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E63F1F">
        <w:trPr>
          <w:trHeight w:val="585"/>
        </w:trPr>
        <w:tc>
          <w:tcPr>
            <w:tcW w:w="6750" w:type="dxa"/>
            <w:gridSpan w:val="2"/>
            <w:shd w:val="clear" w:color="auto" w:fill="F2F2F2" w:themeFill="background1" w:themeFillShade="F2"/>
          </w:tcPr>
          <w:p w:rsidR="00FC6E87" w:rsidRPr="0095602A" w:rsidRDefault="00FC6E87" w:rsidP="00E63F1F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  <w:r w:rsidRPr="0095602A">
              <w:rPr>
                <w:b/>
                <w:sz w:val="20"/>
                <w:szCs w:val="20"/>
              </w:rPr>
              <w:t xml:space="preserve">Model/Nazwa/Typ </w:t>
            </w:r>
          </w:p>
        </w:tc>
        <w:tc>
          <w:tcPr>
            <w:tcW w:w="2180" w:type="dxa"/>
            <w:gridSpan w:val="2"/>
            <w:shd w:val="clear" w:color="auto" w:fill="F2F2F2" w:themeFill="background1" w:themeFillShade="F2"/>
          </w:tcPr>
          <w:p w:rsidR="00FC6E87" w:rsidRPr="0095602A" w:rsidRDefault="00FC6E87" w:rsidP="00E63F1F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E63F1F">
        <w:trPr>
          <w:trHeight w:val="585"/>
        </w:trPr>
        <w:tc>
          <w:tcPr>
            <w:tcW w:w="6750" w:type="dxa"/>
            <w:gridSpan w:val="2"/>
            <w:shd w:val="clear" w:color="auto" w:fill="F2F2F2" w:themeFill="background1" w:themeFillShade="F2"/>
          </w:tcPr>
          <w:p w:rsidR="00FC6E87" w:rsidRPr="0095602A" w:rsidRDefault="00FC6E87" w:rsidP="00E63F1F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  <w:r w:rsidRPr="0095602A">
              <w:rPr>
                <w:b/>
                <w:sz w:val="20"/>
                <w:szCs w:val="20"/>
              </w:rPr>
              <w:t xml:space="preserve">    Rok produkcji nie starszy niż 2025</w:t>
            </w:r>
          </w:p>
        </w:tc>
        <w:tc>
          <w:tcPr>
            <w:tcW w:w="2180" w:type="dxa"/>
            <w:gridSpan w:val="2"/>
            <w:shd w:val="clear" w:color="auto" w:fill="F2F2F2" w:themeFill="background1" w:themeFillShade="F2"/>
          </w:tcPr>
          <w:p w:rsidR="00FC6E87" w:rsidRPr="0095602A" w:rsidRDefault="00FC6E87" w:rsidP="00E63F1F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E63F1F">
        <w:trPr>
          <w:trHeight w:val="585"/>
        </w:trPr>
        <w:tc>
          <w:tcPr>
            <w:tcW w:w="400" w:type="dxa"/>
          </w:tcPr>
          <w:p w:rsidR="00FC6E87" w:rsidRPr="0095602A" w:rsidRDefault="00FC6E87" w:rsidP="00E63F1F">
            <w:pPr>
              <w:pStyle w:val="TableParagraph"/>
              <w:spacing w:line="289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6350" w:type="dxa"/>
          </w:tcPr>
          <w:p w:rsidR="00FC6E87" w:rsidRPr="0095602A" w:rsidRDefault="00FC6E87" w:rsidP="00E63F1F">
            <w:pPr>
              <w:pStyle w:val="TableParagraph"/>
              <w:spacing w:line="289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Parametry </w:t>
            </w:r>
            <w:r w:rsidRPr="0095602A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techniczne</w:t>
            </w:r>
          </w:p>
        </w:tc>
        <w:tc>
          <w:tcPr>
            <w:tcW w:w="1046" w:type="dxa"/>
          </w:tcPr>
          <w:p w:rsidR="00FC6E87" w:rsidRPr="0095602A" w:rsidRDefault="00FC6E87" w:rsidP="00E63F1F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Parametry wymagane</w:t>
            </w:r>
          </w:p>
        </w:tc>
        <w:tc>
          <w:tcPr>
            <w:tcW w:w="1134" w:type="dxa"/>
          </w:tcPr>
          <w:p w:rsidR="00FC6E87" w:rsidRPr="0095602A" w:rsidRDefault="00FC6E87" w:rsidP="00E63F1F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Parametry </w:t>
            </w:r>
            <w:r w:rsidRPr="0095602A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oferowane</w:t>
            </w:r>
          </w:p>
        </w:tc>
      </w:tr>
      <w:tr w:rsidR="00FC6E87" w:rsidRPr="0095602A" w:rsidTr="00E63F1F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FC6E87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FC6E87" w:rsidRPr="0095602A" w:rsidRDefault="00FC6E87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Urządzenie z dwoma niezależnymi kanałami infuzyjnymi umożliwiającymi równoczesną pracę dwóch strzykawek w jednym korpusie</w:t>
            </w:r>
          </w:p>
        </w:tc>
        <w:tc>
          <w:tcPr>
            <w:tcW w:w="1046" w:type="dxa"/>
          </w:tcPr>
          <w:p w:rsidR="00FC6E87" w:rsidRPr="0095602A" w:rsidRDefault="00FC6E87" w:rsidP="00E63F1F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E63F1F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E63F1F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FC6E87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FC6E87" w:rsidRPr="0095602A" w:rsidRDefault="00FC6E87" w:rsidP="00E63F1F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Obsługiwane pojemności strzykawek: 2, 5, 6, 10, 12, 20, 30, 35, 50 ml (każdy kanał niezależnie)</w:t>
            </w:r>
          </w:p>
        </w:tc>
        <w:tc>
          <w:tcPr>
            <w:tcW w:w="1046" w:type="dxa"/>
          </w:tcPr>
          <w:p w:rsidR="00FC6E87" w:rsidRPr="0095602A" w:rsidRDefault="00FC6E87" w:rsidP="00E63F1F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E63F1F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E63F1F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FC6E87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FC6E87" w:rsidRPr="0095602A" w:rsidRDefault="00FC6E87" w:rsidP="00E63F1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sz w:val="20"/>
                <w:szCs w:val="20"/>
              </w:rPr>
              <w:t>Strzykawki montowane od czoła, z blokadą uniemożliwiającą nieprawidłowe osadzenie</w:t>
            </w:r>
          </w:p>
        </w:tc>
        <w:tc>
          <w:tcPr>
            <w:tcW w:w="1046" w:type="dxa"/>
          </w:tcPr>
          <w:p w:rsidR="00FC6E87" w:rsidRPr="0095602A" w:rsidRDefault="00FC6E87" w:rsidP="00E63F1F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E63F1F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E63F1F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FC6E87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FC6E87" w:rsidRPr="0095602A" w:rsidRDefault="00FC6E87" w:rsidP="00E63F1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sz w:val="20"/>
                <w:szCs w:val="20"/>
              </w:rPr>
              <w:t>Ramię pompy nie wystaje poza gabaryt obudowy</w:t>
            </w:r>
          </w:p>
        </w:tc>
        <w:tc>
          <w:tcPr>
            <w:tcW w:w="1046" w:type="dxa"/>
          </w:tcPr>
          <w:p w:rsidR="00FC6E87" w:rsidRPr="0095602A" w:rsidRDefault="00FC6E87" w:rsidP="00E63F1F">
            <w:pPr>
              <w:pStyle w:val="TableParagraph"/>
              <w:spacing w:line="290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E63F1F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E63F1F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FC6E87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FC6E87" w:rsidRPr="0095602A" w:rsidRDefault="00FC6E87" w:rsidP="00E63F1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sz w:val="20"/>
                <w:szCs w:val="20"/>
              </w:rPr>
              <w:t>Wysokość pompy ok. 115 mm ±5 mm, szerokość dopasowana do dwóch torów infuzyjnych, waga ≤ 4,6 kg ±0,2 kg</w:t>
            </w:r>
          </w:p>
        </w:tc>
        <w:tc>
          <w:tcPr>
            <w:tcW w:w="1046" w:type="dxa"/>
          </w:tcPr>
          <w:p w:rsidR="00FC6E87" w:rsidRPr="0095602A" w:rsidRDefault="00FC6E87" w:rsidP="00E63F1F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E63F1F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E63F1F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FC6E87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FC6E87" w:rsidRPr="0095602A" w:rsidRDefault="00FC6E87" w:rsidP="00E63F1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sz w:val="20"/>
                <w:szCs w:val="20"/>
              </w:rPr>
              <w:t>Zakres szybkości dozowania dla każdego kanału: 0,1–2000 ml/h, regulacja co 0,1 ml/h</w:t>
            </w:r>
          </w:p>
        </w:tc>
        <w:tc>
          <w:tcPr>
            <w:tcW w:w="1046" w:type="dxa"/>
          </w:tcPr>
          <w:p w:rsidR="00FC6E87" w:rsidRPr="0095602A" w:rsidRDefault="00FC6E87" w:rsidP="00E63F1F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E63F1F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E63F1F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FC6E87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FC6E87" w:rsidRPr="0095602A" w:rsidRDefault="00FC6E87" w:rsidP="00E63F1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sz w:val="20"/>
                <w:szCs w:val="20"/>
              </w:rPr>
              <w:t>Dokładność infuzji ±2% dla każdego kanału</w:t>
            </w:r>
          </w:p>
        </w:tc>
        <w:tc>
          <w:tcPr>
            <w:tcW w:w="1046" w:type="dxa"/>
          </w:tcPr>
          <w:p w:rsidR="00FC6E87" w:rsidRPr="0095602A" w:rsidRDefault="00FC6E87" w:rsidP="00E63F1F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E63F1F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E63F1F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FC6E87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FC6E87" w:rsidRPr="0095602A" w:rsidRDefault="00FC6E87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Programowanie parametrów infuzji w jednostkach: ml, L, </w:t>
            </w:r>
            <w:proofErr w:type="spellStart"/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ng</w:t>
            </w:r>
            <w:proofErr w:type="spellEnd"/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μg</w:t>
            </w:r>
            <w:proofErr w:type="spellEnd"/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mg, g, </w:t>
            </w:r>
            <w:proofErr w:type="spellStart"/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mmol</w:t>
            </w:r>
            <w:proofErr w:type="spellEnd"/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Eq</w:t>
            </w:r>
            <w:proofErr w:type="spellEnd"/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IU, kcal, </w:t>
            </w:r>
            <w:proofErr w:type="spellStart"/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kJ</w:t>
            </w:r>
            <w:proofErr w:type="spellEnd"/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z możliwością uwzględnienia masy lub powierzchni pacjenta, w jednostkach czasu (min., godz., doba)</w:t>
            </w:r>
          </w:p>
        </w:tc>
        <w:tc>
          <w:tcPr>
            <w:tcW w:w="1046" w:type="dxa"/>
          </w:tcPr>
          <w:p w:rsidR="00FC6E87" w:rsidRPr="0095602A" w:rsidRDefault="00FC6E87" w:rsidP="00E63F1F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E63F1F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D554D7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FC6E87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FC6E87" w:rsidRPr="0095602A" w:rsidRDefault="00FC6E87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Tryby pracy dla każdego kanału: infuzja ciągła, bolusowa (z przerwą), profilowa min. 24 kroki, TPN (narastanie/utrzymanie/opadanie)</w:t>
            </w:r>
          </w:p>
        </w:tc>
        <w:tc>
          <w:tcPr>
            <w:tcW w:w="1046" w:type="dxa"/>
          </w:tcPr>
          <w:p w:rsidR="00FC6E87" w:rsidRPr="0095602A" w:rsidRDefault="00FC6E87" w:rsidP="00E63F1F">
            <w:pPr>
              <w:pStyle w:val="TableParagraph"/>
              <w:spacing w:before="2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E63F1F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E63F1F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FC6E87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</w:tcPr>
          <w:p w:rsidR="00FC6E87" w:rsidRPr="0095602A" w:rsidRDefault="00FC6E87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Programowanie bolusa i dawki indukcyjnej (objętość/dawka, czas lub szybkość), automatyczne zmniejszanie szybkości bolusa w celu uniknięcia alarmu okluzji</w:t>
            </w:r>
          </w:p>
        </w:tc>
        <w:tc>
          <w:tcPr>
            <w:tcW w:w="1046" w:type="dxa"/>
          </w:tcPr>
          <w:p w:rsidR="00FC6E87" w:rsidRPr="0095602A" w:rsidRDefault="00FC6E87" w:rsidP="00E63F1F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E63F1F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D554D7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FC6E87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</w:tcPr>
          <w:p w:rsidR="00FC6E87" w:rsidRPr="0095602A" w:rsidRDefault="00FC6E87" w:rsidP="00E63F1F">
            <w:pPr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Regulowane progi ciśnienia okluzji – min. 12 poziomów w zakresie 75–900 </w:t>
            </w:r>
            <w:proofErr w:type="spellStart"/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mmHg</w:t>
            </w:r>
            <w:proofErr w:type="spellEnd"/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dla każdego kanału, zmiana progu bez przerywania infuzji, automatyczna redukcja bolusa </w:t>
            </w:r>
            <w:proofErr w:type="spellStart"/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okluzyjnego</w:t>
            </w:r>
            <w:proofErr w:type="spellEnd"/>
          </w:p>
        </w:tc>
        <w:tc>
          <w:tcPr>
            <w:tcW w:w="1046" w:type="dxa"/>
          </w:tcPr>
          <w:p w:rsidR="00FC6E87" w:rsidRPr="0095602A" w:rsidRDefault="00FC6E87" w:rsidP="00E63F1F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E63F1F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E63F1F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FC6E87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FC6E87" w:rsidRPr="0095602A" w:rsidRDefault="00FC6E87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Biblioteka leków o pojemności min. 4000 procedur z podziałem na min. 40 oddziałów i 40 kategorii lekowych, z limitami miękkimi/twardymi i notatkami doradczymi</w:t>
            </w:r>
          </w:p>
        </w:tc>
        <w:tc>
          <w:tcPr>
            <w:tcW w:w="1046" w:type="dxa"/>
          </w:tcPr>
          <w:p w:rsidR="00FC6E87" w:rsidRPr="0095602A" w:rsidRDefault="00FC6E87" w:rsidP="00E63F1F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E63F1F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E63F1F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FC6E87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FC6E87" w:rsidRPr="0095602A" w:rsidRDefault="00FC6E87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Polskojęzyczne oprogramowanie komputerowe do tworzenia i przesyłania biblioteki leków</w:t>
            </w:r>
          </w:p>
        </w:tc>
        <w:tc>
          <w:tcPr>
            <w:tcW w:w="1046" w:type="dxa"/>
          </w:tcPr>
          <w:p w:rsidR="00FC6E87" w:rsidRPr="0095602A" w:rsidRDefault="00FC6E87" w:rsidP="00E63F1F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E63F1F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E63F1F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FC6E87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FC6E87" w:rsidRPr="0095602A" w:rsidRDefault="00FC6E87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Kolorowy ekran dotykowy min. 4,3” umożliwiający jednoczesne wyświetlanie parametrów obu kanałów: nazwa i koncentracja leku, szybkość infuzji, limity, podana dawka, czas do końca infuzji lub strzykawki (graficznie), ciśnienie w linii pacjenta (graficznie), stan akumulatora</w:t>
            </w:r>
          </w:p>
        </w:tc>
        <w:tc>
          <w:tcPr>
            <w:tcW w:w="1046" w:type="dxa"/>
          </w:tcPr>
          <w:p w:rsidR="00FC6E87" w:rsidRPr="0095602A" w:rsidRDefault="00FC6E87" w:rsidP="00E63F1F">
            <w:pPr>
              <w:pStyle w:val="TableParagraph"/>
              <w:spacing w:before="2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E63F1F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E63F1F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FC6E87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FC6E87" w:rsidRPr="0095602A" w:rsidRDefault="00FC6E87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Kolorystyczne wyróżnienie ekranów infuzji do żywienia dojelitowego</w:t>
            </w:r>
          </w:p>
        </w:tc>
        <w:tc>
          <w:tcPr>
            <w:tcW w:w="1046" w:type="dxa"/>
          </w:tcPr>
          <w:p w:rsidR="00FC6E87" w:rsidRPr="0095602A" w:rsidRDefault="00FC6E87" w:rsidP="00E63F1F">
            <w:pPr>
              <w:pStyle w:val="TableParagraph"/>
              <w:spacing w:line="290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E63F1F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E63F1F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FC6E87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FC6E87" w:rsidRPr="0095602A" w:rsidRDefault="00FC6E87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sz w:val="20"/>
                <w:szCs w:val="20"/>
              </w:rPr>
              <w:t>Napisy na wyświetlaczu w języku polskim</w:t>
            </w:r>
          </w:p>
        </w:tc>
        <w:tc>
          <w:tcPr>
            <w:tcW w:w="1046" w:type="dxa"/>
          </w:tcPr>
          <w:p w:rsidR="00FC6E87" w:rsidRPr="0095602A" w:rsidRDefault="00FC6E87" w:rsidP="00E63F1F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E63F1F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E63F1F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FC6E87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FC6E87" w:rsidRPr="0095602A" w:rsidRDefault="00FC6E87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sz w:val="20"/>
                <w:szCs w:val="20"/>
              </w:rPr>
              <w:t>Priorytetowy system alarmów zróżnicowany dźwiękowo i świetlnie</w:t>
            </w:r>
          </w:p>
        </w:tc>
        <w:tc>
          <w:tcPr>
            <w:tcW w:w="1046" w:type="dxa"/>
          </w:tcPr>
          <w:p w:rsidR="00FC6E87" w:rsidRPr="0095602A" w:rsidRDefault="00FC6E87" w:rsidP="00E63F1F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E63F1F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E63F1F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FC6E87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FC6E87" w:rsidRPr="0095602A" w:rsidRDefault="00FC6E87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Historia infuzji min. 2000 pełnych zapisów (dla każdego kanału)</w:t>
            </w:r>
          </w:p>
        </w:tc>
        <w:tc>
          <w:tcPr>
            <w:tcW w:w="1046" w:type="dxa"/>
          </w:tcPr>
          <w:p w:rsidR="00FC6E87" w:rsidRPr="0095602A" w:rsidRDefault="00FC6E87" w:rsidP="00E63F1F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E63F1F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D554D7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FC6E87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FC6E87" w:rsidRPr="0095602A" w:rsidRDefault="00FC6E87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Zasilanie: akumulator nowoczesnej generacji bez efektu pamięci (czas pracy do 30 h przy infuzji 5 ml/h na kanał), zasilanie sieciowe 230 V AC ±10%</w:t>
            </w:r>
          </w:p>
        </w:tc>
        <w:tc>
          <w:tcPr>
            <w:tcW w:w="1046" w:type="dxa"/>
          </w:tcPr>
          <w:p w:rsidR="00FC6E87" w:rsidRPr="0095602A" w:rsidRDefault="00FC6E87" w:rsidP="00E63F1F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E63F1F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E63F1F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FC6E87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</w:tcPr>
          <w:p w:rsidR="00FC6E87" w:rsidRPr="0095602A" w:rsidRDefault="00FC6E87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Czas ładowania akumulatora do 100% ≤5 h</w:t>
            </w:r>
          </w:p>
        </w:tc>
        <w:tc>
          <w:tcPr>
            <w:tcW w:w="1046" w:type="dxa"/>
          </w:tcPr>
          <w:p w:rsidR="00FC6E87" w:rsidRPr="0095602A" w:rsidRDefault="00FC6E87" w:rsidP="00E63F1F">
            <w:pPr>
              <w:pStyle w:val="TableParagraph"/>
              <w:spacing w:line="290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E63F1F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E63F1F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FC6E87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</w:tcPr>
          <w:p w:rsidR="00FC6E87" w:rsidRPr="0095602A" w:rsidRDefault="00FC6E87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Klasa ochrony II, typ CF, odporność na defibrylację, stopień ochrony obudowy min. IP22</w:t>
            </w:r>
          </w:p>
        </w:tc>
        <w:tc>
          <w:tcPr>
            <w:tcW w:w="1046" w:type="dxa"/>
          </w:tcPr>
          <w:p w:rsidR="00FC6E87" w:rsidRPr="0095602A" w:rsidRDefault="00FC6E87" w:rsidP="00E63F1F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E63F1F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E63F1F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FC6E87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</w:tcPr>
          <w:p w:rsidR="00FC6E87" w:rsidRPr="0095602A" w:rsidRDefault="00FC6E87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Możliwość montażu pompy na statywie lub w stacji dokującej z automatycznym przyłączaniem zasilania i portu komunikacyjnego</w:t>
            </w:r>
          </w:p>
        </w:tc>
        <w:tc>
          <w:tcPr>
            <w:tcW w:w="1046" w:type="dxa"/>
          </w:tcPr>
          <w:p w:rsidR="00FC6E87" w:rsidRPr="0095602A" w:rsidRDefault="00FC6E87" w:rsidP="00E63F1F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E63F1F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E63F1F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FC6E87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</w:tcPr>
          <w:p w:rsidR="00FC6E87" w:rsidRPr="0095602A" w:rsidRDefault="00FC6E87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Uchwyt do przenoszenia na stałe zintegrowany z obudową</w:t>
            </w:r>
          </w:p>
        </w:tc>
        <w:tc>
          <w:tcPr>
            <w:tcW w:w="1046" w:type="dxa"/>
          </w:tcPr>
          <w:p w:rsidR="00FC6E87" w:rsidRPr="0095602A" w:rsidRDefault="00FC6E87" w:rsidP="00E63F1F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E63F1F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40DE1" w:rsidRPr="0095602A" w:rsidRDefault="00840DE1" w:rsidP="00840DE1">
      <w:pPr>
        <w:rPr>
          <w:rFonts w:ascii="Times New Roman" w:hAnsi="Times New Roman" w:cs="Times New Roman"/>
          <w:sz w:val="20"/>
          <w:szCs w:val="20"/>
        </w:rPr>
      </w:pPr>
    </w:p>
    <w:p w:rsidR="00FC6E87" w:rsidRPr="0095602A" w:rsidRDefault="00FC6E87" w:rsidP="00840DE1">
      <w:pPr>
        <w:rPr>
          <w:rFonts w:ascii="Times New Roman" w:hAnsi="Times New Roman" w:cs="Times New Roman"/>
          <w:sz w:val="20"/>
          <w:szCs w:val="20"/>
        </w:rPr>
      </w:pPr>
    </w:p>
    <w:p w:rsidR="00FC6E87" w:rsidRPr="0095602A" w:rsidRDefault="00FC6E87" w:rsidP="00840DE1">
      <w:pPr>
        <w:rPr>
          <w:rFonts w:ascii="Times New Roman" w:hAnsi="Times New Roman" w:cs="Times New Roman"/>
          <w:sz w:val="20"/>
          <w:szCs w:val="20"/>
        </w:rPr>
      </w:pPr>
    </w:p>
    <w:sectPr w:rsidR="00FC6E87" w:rsidRPr="0095602A" w:rsidSect="00B96333">
      <w:headerReference w:type="default" r:id="rId11"/>
      <w:footerReference w:type="default" r:id="rId12"/>
      <w:pgSz w:w="11906" w:h="16838"/>
      <w:pgMar w:top="1418" w:right="1418" w:bottom="1418" w:left="1418" w:header="283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2BE6" w:rsidRDefault="00112BE6" w:rsidP="00403954">
      <w:pPr>
        <w:spacing w:after="0" w:line="240" w:lineRule="auto"/>
      </w:pPr>
      <w:r>
        <w:separator/>
      </w:r>
    </w:p>
  </w:endnote>
  <w:endnote w:type="continuationSeparator" w:id="1">
    <w:p w:rsidR="00112BE6" w:rsidRDefault="00112BE6" w:rsidP="00403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4862417"/>
      <w:docPartObj>
        <w:docPartGallery w:val="Page Numbers (Bottom of Page)"/>
        <w:docPartUnique/>
      </w:docPartObj>
    </w:sdtPr>
    <w:sdtContent>
      <w:p w:rsidR="00112BE6" w:rsidRDefault="006B1946">
        <w:pPr>
          <w:pStyle w:val="Stopka"/>
          <w:jc w:val="right"/>
        </w:pPr>
        <w:fldSimple w:instr="PAGE   \* MERGEFORMAT">
          <w:r w:rsidR="00AC590D">
            <w:rPr>
              <w:noProof/>
            </w:rPr>
            <w:t>1</w:t>
          </w:r>
        </w:fldSimple>
      </w:p>
    </w:sdtContent>
  </w:sdt>
  <w:p w:rsidR="00112BE6" w:rsidRDefault="00112BE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2BE6" w:rsidRDefault="00112BE6" w:rsidP="00403954">
      <w:pPr>
        <w:spacing w:after="0" w:line="240" w:lineRule="auto"/>
      </w:pPr>
      <w:r>
        <w:separator/>
      </w:r>
    </w:p>
  </w:footnote>
  <w:footnote w:type="continuationSeparator" w:id="1">
    <w:p w:rsidR="00112BE6" w:rsidRDefault="00112BE6" w:rsidP="004039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BE6" w:rsidRPr="00CB2FB8" w:rsidRDefault="00112BE6" w:rsidP="00C6787E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981583" cy="1238250"/>
          <wp:effectExtent l="19050" t="0" r="117" b="0"/>
          <wp:docPr id="1" name="Obraz 3">
            <a:extLst xmlns:a="http://schemas.openxmlformats.org/drawingml/2006/main">
              <a:ext uri="{FF2B5EF4-FFF2-40B4-BE49-F238E27FC236}">
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0373DB8B-DE08-413C-B9F9-B6E8EDF6CB4B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>
                    <a:extLst>
                      <a:ext uri="{FF2B5EF4-FFF2-40B4-BE49-F238E27FC236}">
        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0373DB8B-DE08-413C-B9F9-B6E8EDF6CB4B}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81583" cy="1238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62BE"/>
    <w:multiLevelType w:val="hybridMultilevel"/>
    <w:tmpl w:val="DEE0C9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2C0872"/>
    <w:multiLevelType w:val="hybridMultilevel"/>
    <w:tmpl w:val="7854BF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9C2664"/>
    <w:multiLevelType w:val="hybridMultilevel"/>
    <w:tmpl w:val="0B46FF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8683CDA"/>
    <w:multiLevelType w:val="hybridMultilevel"/>
    <w:tmpl w:val="7E261C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B245FB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8C59B6"/>
    <w:multiLevelType w:val="hybridMultilevel"/>
    <w:tmpl w:val="F56CE36A"/>
    <w:lvl w:ilvl="0" w:tplc="0415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6">
    <w:nsid w:val="13833C5C"/>
    <w:multiLevelType w:val="hybridMultilevel"/>
    <w:tmpl w:val="A066D9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3915AAD"/>
    <w:multiLevelType w:val="hybridMultilevel"/>
    <w:tmpl w:val="2078126C"/>
    <w:lvl w:ilvl="0" w:tplc="04150013">
      <w:start w:val="1"/>
      <w:numFmt w:val="upperRoman"/>
      <w:lvlText w:val="%1."/>
      <w:lvlJc w:val="righ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45361EA"/>
    <w:multiLevelType w:val="hybridMultilevel"/>
    <w:tmpl w:val="4D88EC1A"/>
    <w:lvl w:ilvl="0" w:tplc="24985916">
      <w:numFmt w:val="bullet"/>
      <w:lvlText w:val="-"/>
      <w:lvlJc w:val="left"/>
      <w:pPr>
        <w:ind w:left="25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280CBEA">
      <w:numFmt w:val="bullet"/>
      <w:lvlText w:val="•"/>
      <w:lvlJc w:val="left"/>
      <w:pPr>
        <w:ind w:left="587" w:hanging="140"/>
      </w:pPr>
      <w:rPr>
        <w:rFonts w:hint="default"/>
        <w:lang w:val="pl-PL" w:eastAsia="en-US" w:bidi="ar-SA"/>
      </w:rPr>
    </w:lvl>
    <w:lvl w:ilvl="2" w:tplc="49BC33C6">
      <w:numFmt w:val="bullet"/>
      <w:lvlText w:val="•"/>
      <w:lvlJc w:val="left"/>
      <w:pPr>
        <w:ind w:left="915" w:hanging="140"/>
      </w:pPr>
      <w:rPr>
        <w:rFonts w:hint="default"/>
        <w:lang w:val="pl-PL" w:eastAsia="en-US" w:bidi="ar-SA"/>
      </w:rPr>
    </w:lvl>
    <w:lvl w:ilvl="3" w:tplc="80603FE8">
      <w:numFmt w:val="bullet"/>
      <w:lvlText w:val="•"/>
      <w:lvlJc w:val="left"/>
      <w:pPr>
        <w:ind w:left="1242" w:hanging="140"/>
      </w:pPr>
      <w:rPr>
        <w:rFonts w:hint="default"/>
        <w:lang w:val="pl-PL" w:eastAsia="en-US" w:bidi="ar-SA"/>
      </w:rPr>
    </w:lvl>
    <w:lvl w:ilvl="4" w:tplc="1DACD4BE">
      <w:numFmt w:val="bullet"/>
      <w:lvlText w:val="•"/>
      <w:lvlJc w:val="left"/>
      <w:pPr>
        <w:ind w:left="1570" w:hanging="140"/>
      </w:pPr>
      <w:rPr>
        <w:rFonts w:hint="default"/>
        <w:lang w:val="pl-PL" w:eastAsia="en-US" w:bidi="ar-SA"/>
      </w:rPr>
    </w:lvl>
    <w:lvl w:ilvl="5" w:tplc="38BC0CB0">
      <w:numFmt w:val="bullet"/>
      <w:lvlText w:val="•"/>
      <w:lvlJc w:val="left"/>
      <w:pPr>
        <w:ind w:left="1898" w:hanging="140"/>
      </w:pPr>
      <w:rPr>
        <w:rFonts w:hint="default"/>
        <w:lang w:val="pl-PL" w:eastAsia="en-US" w:bidi="ar-SA"/>
      </w:rPr>
    </w:lvl>
    <w:lvl w:ilvl="6" w:tplc="250A5174">
      <w:numFmt w:val="bullet"/>
      <w:lvlText w:val="•"/>
      <w:lvlJc w:val="left"/>
      <w:pPr>
        <w:ind w:left="2225" w:hanging="140"/>
      </w:pPr>
      <w:rPr>
        <w:rFonts w:hint="default"/>
        <w:lang w:val="pl-PL" w:eastAsia="en-US" w:bidi="ar-SA"/>
      </w:rPr>
    </w:lvl>
    <w:lvl w:ilvl="7" w:tplc="5060F056">
      <w:numFmt w:val="bullet"/>
      <w:lvlText w:val="•"/>
      <w:lvlJc w:val="left"/>
      <w:pPr>
        <w:ind w:left="2553" w:hanging="140"/>
      </w:pPr>
      <w:rPr>
        <w:rFonts w:hint="default"/>
        <w:lang w:val="pl-PL" w:eastAsia="en-US" w:bidi="ar-SA"/>
      </w:rPr>
    </w:lvl>
    <w:lvl w:ilvl="8" w:tplc="BB4E39C8">
      <w:numFmt w:val="bullet"/>
      <w:lvlText w:val="•"/>
      <w:lvlJc w:val="left"/>
      <w:pPr>
        <w:ind w:left="2880" w:hanging="140"/>
      </w:pPr>
      <w:rPr>
        <w:rFonts w:hint="default"/>
        <w:lang w:val="pl-PL" w:eastAsia="en-US" w:bidi="ar-SA"/>
      </w:rPr>
    </w:lvl>
  </w:abstractNum>
  <w:abstractNum w:abstractNumId="9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7E3B2A"/>
    <w:multiLevelType w:val="hybridMultilevel"/>
    <w:tmpl w:val="171AB0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FF82349"/>
    <w:multiLevelType w:val="hybridMultilevel"/>
    <w:tmpl w:val="89D07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3A58"/>
    <w:multiLevelType w:val="hybridMultilevel"/>
    <w:tmpl w:val="ACD02D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5352A1C"/>
    <w:multiLevelType w:val="hybridMultilevel"/>
    <w:tmpl w:val="7706A07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B1039CC"/>
    <w:multiLevelType w:val="hybridMultilevel"/>
    <w:tmpl w:val="30EAFD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E5D4F3E"/>
    <w:multiLevelType w:val="hybridMultilevel"/>
    <w:tmpl w:val="F1805608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0E30D7"/>
    <w:multiLevelType w:val="hybridMultilevel"/>
    <w:tmpl w:val="FA984C82"/>
    <w:lvl w:ilvl="0" w:tplc="BAA2768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61572CC"/>
    <w:multiLevelType w:val="hybridMultilevel"/>
    <w:tmpl w:val="B53068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D83214"/>
    <w:multiLevelType w:val="hybridMultilevel"/>
    <w:tmpl w:val="CB96DE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73E7C1D"/>
    <w:multiLevelType w:val="hybridMultilevel"/>
    <w:tmpl w:val="C7D24D70"/>
    <w:lvl w:ilvl="0" w:tplc="47DE8D9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232390D"/>
    <w:multiLevelType w:val="hybridMultilevel"/>
    <w:tmpl w:val="F3E2C5D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4FD6589"/>
    <w:multiLevelType w:val="hybridMultilevel"/>
    <w:tmpl w:val="891690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A0B3BB9"/>
    <w:multiLevelType w:val="hybridMultilevel"/>
    <w:tmpl w:val="D8A27D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ABE20AE"/>
    <w:multiLevelType w:val="hybridMultilevel"/>
    <w:tmpl w:val="E2E2B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C96CB2"/>
    <w:multiLevelType w:val="hybridMultilevel"/>
    <w:tmpl w:val="4B3E14B8"/>
    <w:lvl w:ilvl="0" w:tplc="1ECA782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EB84168"/>
    <w:multiLevelType w:val="hybridMultilevel"/>
    <w:tmpl w:val="07B4C89E"/>
    <w:lvl w:ilvl="0" w:tplc="0415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6">
    <w:nsid w:val="4F0F3F27"/>
    <w:multiLevelType w:val="hybridMultilevel"/>
    <w:tmpl w:val="D3E0D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EC4D47"/>
    <w:multiLevelType w:val="hybridMultilevel"/>
    <w:tmpl w:val="DDDCC9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34C48C3"/>
    <w:multiLevelType w:val="hybridMultilevel"/>
    <w:tmpl w:val="490CB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784378"/>
    <w:multiLevelType w:val="hybridMultilevel"/>
    <w:tmpl w:val="18FCD5E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52E023A"/>
    <w:multiLevelType w:val="hybridMultilevel"/>
    <w:tmpl w:val="12BE41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63B4F8E"/>
    <w:multiLevelType w:val="hybridMultilevel"/>
    <w:tmpl w:val="EE525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5440AB"/>
    <w:multiLevelType w:val="hybridMultilevel"/>
    <w:tmpl w:val="39526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12420D"/>
    <w:multiLevelType w:val="hybridMultilevel"/>
    <w:tmpl w:val="69A8B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895C9F"/>
    <w:multiLevelType w:val="hybridMultilevel"/>
    <w:tmpl w:val="0C6AB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8D1A3B"/>
    <w:multiLevelType w:val="hybridMultilevel"/>
    <w:tmpl w:val="158AD4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D0A41BA"/>
    <w:multiLevelType w:val="hybridMultilevel"/>
    <w:tmpl w:val="6FA0DB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2C422C"/>
    <w:multiLevelType w:val="hybridMultilevel"/>
    <w:tmpl w:val="93906B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8"/>
  </w:num>
  <w:num w:numId="3">
    <w:abstractNumId w:val="12"/>
  </w:num>
  <w:num w:numId="4">
    <w:abstractNumId w:val="24"/>
  </w:num>
  <w:num w:numId="5">
    <w:abstractNumId w:val="16"/>
  </w:num>
  <w:num w:numId="6">
    <w:abstractNumId w:val="7"/>
  </w:num>
  <w:num w:numId="7">
    <w:abstractNumId w:val="19"/>
  </w:num>
  <w:num w:numId="8">
    <w:abstractNumId w:val="15"/>
  </w:num>
  <w:num w:numId="9">
    <w:abstractNumId w:val="20"/>
  </w:num>
  <w:num w:numId="10">
    <w:abstractNumId w:val="6"/>
  </w:num>
  <w:num w:numId="11">
    <w:abstractNumId w:val="36"/>
  </w:num>
  <w:num w:numId="12">
    <w:abstractNumId w:val="2"/>
  </w:num>
  <w:num w:numId="13">
    <w:abstractNumId w:val="22"/>
  </w:num>
  <w:num w:numId="14">
    <w:abstractNumId w:val="29"/>
  </w:num>
  <w:num w:numId="15">
    <w:abstractNumId w:val="1"/>
  </w:num>
  <w:num w:numId="16">
    <w:abstractNumId w:val="23"/>
  </w:num>
  <w:num w:numId="17">
    <w:abstractNumId w:val="27"/>
  </w:num>
  <w:num w:numId="18">
    <w:abstractNumId w:val="30"/>
  </w:num>
  <w:num w:numId="19">
    <w:abstractNumId w:val="0"/>
  </w:num>
  <w:num w:numId="20">
    <w:abstractNumId w:val="10"/>
  </w:num>
  <w:num w:numId="21">
    <w:abstractNumId w:val="11"/>
  </w:num>
  <w:num w:numId="22">
    <w:abstractNumId w:val="13"/>
  </w:num>
  <w:num w:numId="23">
    <w:abstractNumId w:val="3"/>
  </w:num>
  <w:num w:numId="24">
    <w:abstractNumId w:val="18"/>
  </w:num>
  <w:num w:numId="25">
    <w:abstractNumId w:val="14"/>
  </w:num>
  <w:num w:numId="26">
    <w:abstractNumId w:val="34"/>
  </w:num>
  <w:num w:numId="27">
    <w:abstractNumId w:val="35"/>
  </w:num>
  <w:num w:numId="28">
    <w:abstractNumId w:val="37"/>
  </w:num>
  <w:num w:numId="29">
    <w:abstractNumId w:val="26"/>
  </w:num>
  <w:num w:numId="30">
    <w:abstractNumId w:val="33"/>
  </w:num>
  <w:num w:numId="31">
    <w:abstractNumId w:val="17"/>
  </w:num>
  <w:num w:numId="32">
    <w:abstractNumId w:val="31"/>
  </w:num>
  <w:num w:numId="33">
    <w:abstractNumId w:val="32"/>
  </w:num>
  <w:num w:numId="34">
    <w:abstractNumId w:val="8"/>
  </w:num>
  <w:num w:numId="35">
    <w:abstractNumId w:val="5"/>
  </w:num>
  <w:num w:numId="36">
    <w:abstractNumId w:val="25"/>
  </w:num>
  <w:num w:numId="37">
    <w:abstractNumId w:val="9"/>
  </w:num>
  <w:num w:numId="3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0"/>
    <w:footnote w:id="1"/>
  </w:footnotePr>
  <w:endnotePr>
    <w:endnote w:id="0"/>
    <w:endnote w:id="1"/>
  </w:endnotePr>
  <w:compat/>
  <w:rsids>
    <w:rsidRoot w:val="009C6172"/>
    <w:rsid w:val="00046624"/>
    <w:rsid w:val="00054CE5"/>
    <w:rsid w:val="00112BE6"/>
    <w:rsid w:val="001228A0"/>
    <w:rsid w:val="001929EE"/>
    <w:rsid w:val="00197EEF"/>
    <w:rsid w:val="001B324F"/>
    <w:rsid w:val="001B428F"/>
    <w:rsid w:val="001D47BE"/>
    <w:rsid w:val="001E249A"/>
    <w:rsid w:val="001E25D6"/>
    <w:rsid w:val="001F2216"/>
    <w:rsid w:val="00246F72"/>
    <w:rsid w:val="002C0853"/>
    <w:rsid w:val="002C2047"/>
    <w:rsid w:val="002D23E5"/>
    <w:rsid w:val="002E0286"/>
    <w:rsid w:val="003175CB"/>
    <w:rsid w:val="003336CA"/>
    <w:rsid w:val="00382C84"/>
    <w:rsid w:val="00394D89"/>
    <w:rsid w:val="00403954"/>
    <w:rsid w:val="00441073"/>
    <w:rsid w:val="0045075D"/>
    <w:rsid w:val="00462774"/>
    <w:rsid w:val="00472453"/>
    <w:rsid w:val="0049317F"/>
    <w:rsid w:val="00493342"/>
    <w:rsid w:val="00527759"/>
    <w:rsid w:val="00554C3A"/>
    <w:rsid w:val="005801CE"/>
    <w:rsid w:val="00585E1B"/>
    <w:rsid w:val="005A6F95"/>
    <w:rsid w:val="00615660"/>
    <w:rsid w:val="0062539C"/>
    <w:rsid w:val="00642278"/>
    <w:rsid w:val="00667694"/>
    <w:rsid w:val="00687BB5"/>
    <w:rsid w:val="006B1946"/>
    <w:rsid w:val="007318E1"/>
    <w:rsid w:val="00761E8F"/>
    <w:rsid w:val="007E557F"/>
    <w:rsid w:val="00802ACB"/>
    <w:rsid w:val="00836A72"/>
    <w:rsid w:val="00840DE1"/>
    <w:rsid w:val="00863D0B"/>
    <w:rsid w:val="008B2ED8"/>
    <w:rsid w:val="008C1F3A"/>
    <w:rsid w:val="009166B7"/>
    <w:rsid w:val="00952084"/>
    <w:rsid w:val="0095602A"/>
    <w:rsid w:val="00984BBF"/>
    <w:rsid w:val="009C6172"/>
    <w:rsid w:val="00A11446"/>
    <w:rsid w:val="00A52649"/>
    <w:rsid w:val="00AC590D"/>
    <w:rsid w:val="00B12DC7"/>
    <w:rsid w:val="00B40E51"/>
    <w:rsid w:val="00B96333"/>
    <w:rsid w:val="00BB71AC"/>
    <w:rsid w:val="00BB752F"/>
    <w:rsid w:val="00BD062F"/>
    <w:rsid w:val="00BF242D"/>
    <w:rsid w:val="00BF5779"/>
    <w:rsid w:val="00C05281"/>
    <w:rsid w:val="00C20032"/>
    <w:rsid w:val="00C221EA"/>
    <w:rsid w:val="00C35657"/>
    <w:rsid w:val="00C5059A"/>
    <w:rsid w:val="00C56785"/>
    <w:rsid w:val="00C65023"/>
    <w:rsid w:val="00C664F8"/>
    <w:rsid w:val="00C6787E"/>
    <w:rsid w:val="00CB2FB8"/>
    <w:rsid w:val="00CE6E25"/>
    <w:rsid w:val="00D11A09"/>
    <w:rsid w:val="00D56AE0"/>
    <w:rsid w:val="00DE76C6"/>
    <w:rsid w:val="00E43097"/>
    <w:rsid w:val="00E52C6C"/>
    <w:rsid w:val="00E86749"/>
    <w:rsid w:val="00ED143A"/>
    <w:rsid w:val="00F314D7"/>
    <w:rsid w:val="00F96075"/>
    <w:rsid w:val="00FC6E87"/>
    <w:rsid w:val="00FF3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No List" w:uiPriority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76C6"/>
  </w:style>
  <w:style w:type="paragraph" w:styleId="Nagwek1">
    <w:name w:val="heading 1"/>
    <w:basedOn w:val="Normalny"/>
    <w:next w:val="Normalny"/>
    <w:link w:val="Nagwek1Znak"/>
    <w:qFormat/>
    <w:rsid w:val="00840DE1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2C6C"/>
    <w:pPr>
      <w:ind w:left="720"/>
      <w:contextualSpacing/>
    </w:pPr>
  </w:style>
  <w:style w:type="character" w:styleId="Hipercze">
    <w:name w:val="Hyperlink"/>
    <w:basedOn w:val="Domylnaczcionkaakapitu"/>
    <w:unhideWhenUsed/>
    <w:rsid w:val="00E4309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309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nhideWhenUsed/>
    <w:rsid w:val="00403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03954"/>
  </w:style>
  <w:style w:type="paragraph" w:styleId="Stopka">
    <w:name w:val="footer"/>
    <w:basedOn w:val="Normalny"/>
    <w:link w:val="StopkaZnak"/>
    <w:unhideWhenUsed/>
    <w:rsid w:val="00403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954"/>
  </w:style>
  <w:style w:type="paragraph" w:styleId="Tekstdymka">
    <w:name w:val="Balloon Text"/>
    <w:basedOn w:val="Normalny"/>
    <w:link w:val="TekstdymkaZnak"/>
    <w:semiHidden/>
    <w:unhideWhenUsed/>
    <w:rsid w:val="00C56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78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40DE1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ZnakZnak1">
    <w:name w:val="Znak Znak1"/>
    <w:basedOn w:val="Normalny"/>
    <w:rsid w:val="00840DE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rsid w:val="00840DE1"/>
  </w:style>
  <w:style w:type="paragraph" w:styleId="Tekstpodstawowy">
    <w:name w:val="Body Text"/>
    <w:basedOn w:val="Normalny"/>
    <w:link w:val="TekstpodstawowyZnak"/>
    <w:rsid w:val="00840DE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840DE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rsid w:val="00840DE1"/>
    <w:pPr>
      <w:widowControl w:val="0"/>
      <w:autoSpaceDE w:val="0"/>
      <w:autoSpaceDN w:val="0"/>
      <w:adjustRightInd w:val="0"/>
      <w:spacing w:after="0" w:line="276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6">
    <w:name w:val="Style6"/>
    <w:basedOn w:val="Normalny"/>
    <w:rsid w:val="00840DE1"/>
    <w:pPr>
      <w:widowControl w:val="0"/>
      <w:autoSpaceDE w:val="0"/>
      <w:autoSpaceDN w:val="0"/>
      <w:adjustRightInd w:val="0"/>
      <w:spacing w:after="0" w:line="274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4">
    <w:name w:val="Font Style14"/>
    <w:rsid w:val="00840DE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8">
    <w:name w:val="Font Style18"/>
    <w:rsid w:val="00840DE1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840DE1"/>
    <w:rPr>
      <w:rFonts w:ascii="Arial" w:hAnsi="Arial" w:cs="Arial"/>
      <w:sz w:val="18"/>
      <w:szCs w:val="18"/>
    </w:rPr>
  </w:style>
  <w:style w:type="paragraph" w:customStyle="1" w:styleId="Style1">
    <w:name w:val="Style1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2">
    <w:name w:val="Style2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7">
    <w:name w:val="Style7"/>
    <w:basedOn w:val="Normalny"/>
    <w:rsid w:val="00840DE1"/>
    <w:pPr>
      <w:widowControl w:val="0"/>
      <w:autoSpaceDE w:val="0"/>
      <w:autoSpaceDN w:val="0"/>
      <w:adjustRightInd w:val="0"/>
      <w:spacing w:after="0" w:line="277" w:lineRule="exact"/>
      <w:ind w:hanging="353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840DE1"/>
    <w:pPr>
      <w:widowControl w:val="0"/>
      <w:autoSpaceDE w:val="0"/>
      <w:autoSpaceDN w:val="0"/>
      <w:adjustRightInd w:val="0"/>
      <w:spacing w:after="0" w:line="284" w:lineRule="exact"/>
      <w:jc w:val="righ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9">
    <w:name w:val="Style9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  <w:jc w:val="righ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3">
    <w:name w:val="Font Style13"/>
    <w:rsid w:val="00840DE1"/>
    <w:rPr>
      <w:rFonts w:ascii="Arial" w:hAnsi="Arial" w:cs="Arial"/>
      <w:b/>
      <w:bCs/>
      <w:spacing w:val="10"/>
      <w:sz w:val="12"/>
      <w:szCs w:val="12"/>
    </w:rPr>
  </w:style>
  <w:style w:type="character" w:customStyle="1" w:styleId="FontStyle15">
    <w:name w:val="Font Style15"/>
    <w:rsid w:val="00840DE1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6">
    <w:name w:val="Font Style16"/>
    <w:rsid w:val="00840DE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7">
    <w:name w:val="Font Style17"/>
    <w:rsid w:val="00840DE1"/>
    <w:rPr>
      <w:rFonts w:ascii="Arial Narrow" w:hAnsi="Arial Narrow" w:cs="Arial Narrow"/>
      <w:sz w:val="16"/>
      <w:szCs w:val="16"/>
    </w:rPr>
  </w:style>
  <w:style w:type="character" w:customStyle="1" w:styleId="FontStyle19">
    <w:name w:val="Font Style19"/>
    <w:rsid w:val="00840DE1"/>
    <w:rPr>
      <w:rFonts w:ascii="Times New Roman" w:hAnsi="Times New Roman" w:cs="Times New Roman"/>
      <w:i/>
      <w:iCs/>
      <w:spacing w:val="20"/>
      <w:sz w:val="26"/>
      <w:szCs w:val="26"/>
    </w:rPr>
  </w:style>
  <w:style w:type="character" w:customStyle="1" w:styleId="FontStyle20">
    <w:name w:val="Font Style20"/>
    <w:rsid w:val="00840DE1"/>
    <w:rPr>
      <w:rFonts w:ascii="MS Reference Sans Serif" w:hAnsi="MS Reference Sans Serif" w:cs="MS Reference Sans Serif"/>
      <w:i/>
      <w:iCs/>
      <w:sz w:val="36"/>
      <w:szCs w:val="36"/>
    </w:rPr>
  </w:style>
  <w:style w:type="paragraph" w:styleId="Tekstpodstawowy3">
    <w:name w:val="Body Text 3"/>
    <w:basedOn w:val="Normalny"/>
    <w:link w:val="Tekstpodstawowy3Znak"/>
    <w:rsid w:val="00840DE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40DE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rsid w:val="00840DE1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40DE1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Tekstpodstawowywcity">
    <w:name w:val="Body Text Indent"/>
    <w:basedOn w:val="Normalny"/>
    <w:link w:val="TekstpodstawowywcityZnak"/>
    <w:rsid w:val="00840DE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840DE1"/>
    <w:pPr>
      <w:suppressAutoHyphens/>
      <w:spacing w:after="0" w:line="240" w:lineRule="auto"/>
      <w:ind w:left="922" w:hanging="922"/>
    </w:pPr>
    <w:rPr>
      <w:rFonts w:ascii="Arial" w:eastAsia="Times New Roman" w:hAnsi="Arial" w:cs="Arial"/>
      <w:i/>
      <w:iCs/>
      <w:color w:val="0000FF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40DE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40DE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31">
    <w:name w:val="xl31"/>
    <w:basedOn w:val="Normalny"/>
    <w:rsid w:val="00840DE1"/>
    <w:pPr>
      <w:pBdr>
        <w:left w:val="single" w:sz="8" w:space="0" w:color="auto"/>
      </w:pBdr>
      <w:spacing w:before="100" w:after="100" w:line="240" w:lineRule="auto"/>
    </w:pPr>
    <w:rPr>
      <w:rFonts w:ascii="Arial" w:eastAsia="Arial Unicode MS" w:hAnsi="Arial" w:cs="Arial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rsid w:val="00840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40D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840DE1"/>
    <w:rPr>
      <w:vertAlign w:val="superscript"/>
    </w:rPr>
  </w:style>
  <w:style w:type="character" w:styleId="Odwoanieprzypisudolnego">
    <w:name w:val="footnote reference"/>
    <w:semiHidden/>
    <w:rsid w:val="00840DE1"/>
    <w:rPr>
      <w:rFonts w:cs="Times New Roman"/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840DE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40DE1"/>
    <w:pPr>
      <w:widowControl w:val="0"/>
      <w:autoSpaceDE w:val="0"/>
      <w:autoSpaceDN w:val="0"/>
      <w:spacing w:after="0" w:line="240" w:lineRule="auto"/>
      <w:ind w:left="110"/>
    </w:pPr>
    <w:rPr>
      <w:rFonts w:ascii="Calibri" w:eastAsia="Calibri" w:hAnsi="Calibri" w:cs="Calibri"/>
    </w:rPr>
  </w:style>
  <w:style w:type="table" w:styleId="Tabela-Siatka">
    <w:name w:val="Table Grid"/>
    <w:basedOn w:val="Standardowy"/>
    <w:uiPriority w:val="39"/>
    <w:rsid w:val="00A114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247C0-7D72-46D4-B6E2-E420055550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4DAB8C-6651-47FA-BE17-958D7AA84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9138E1-8365-40B2-BC50-9BA0BD09E2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7FEB64-B559-460D-82AC-4CD648BA9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Gardian Aneta</dc:creator>
  <cp:lastModifiedBy>Zamówienia_publiczne</cp:lastModifiedBy>
  <cp:revision>2</cp:revision>
  <dcterms:created xsi:type="dcterms:W3CDTF">2025-11-03T11:46:00Z</dcterms:created>
  <dcterms:modified xsi:type="dcterms:W3CDTF">2025-11-03T11:46:00Z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